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版本号：HXGJXM2025-ZC-CS104220250710001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雁塔校区学生公寓、研究生院、3#教学楼粉刷项目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HXGJXM2025-ZC-CS1042</w:t>
      </w:r>
      <w:r>
        <w:br/>
      </w:r>
      <w:r>
        <w:br/>
      </w:r>
      <w:r>
        <w:br/>
      </w:r>
    </w:p>
    <w:p>
      <w:pPr>
        <w:pStyle w:val="null3"/>
        <w:jc w:val="center"/>
        <w:outlineLvl w:val="2"/>
      </w:pPr>
      <w:r>
        <w:rPr>
          <w:rFonts w:ascii="仿宋_GB2312" w:hAnsi="仿宋_GB2312" w:cs="仿宋_GB2312" w:eastAsia="仿宋_GB2312"/>
          <w:sz w:val="28"/>
          <w:b/>
        </w:rPr>
        <w:t>西北政法大学</w:t>
      </w:r>
    </w:p>
    <w:p>
      <w:pPr>
        <w:pStyle w:val="null3"/>
        <w:jc w:val="center"/>
        <w:outlineLvl w:val="2"/>
      </w:pPr>
      <w:r>
        <w:rPr>
          <w:rFonts w:ascii="仿宋_GB2312" w:hAnsi="仿宋_GB2312" w:cs="仿宋_GB2312" w:eastAsia="仿宋_GB2312"/>
          <w:sz w:val="28"/>
          <w:b/>
        </w:rPr>
        <w:t>华夏国际项目管理有限公司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华夏国际项目管理有限公司</w:t>
      </w:r>
      <w:r>
        <w:rPr>
          <w:rFonts w:ascii="仿宋_GB2312" w:hAnsi="仿宋_GB2312" w:cs="仿宋_GB2312" w:eastAsia="仿宋_GB2312"/>
        </w:rPr>
        <w:t>（以下简称“代理机构”）受</w:t>
      </w:r>
      <w:r>
        <w:rPr>
          <w:rFonts w:ascii="仿宋_GB2312" w:hAnsi="仿宋_GB2312" w:cs="仿宋_GB2312" w:eastAsia="仿宋_GB2312"/>
        </w:rPr>
        <w:t>西北政法大学</w:t>
      </w:r>
      <w:r>
        <w:rPr>
          <w:rFonts w:ascii="仿宋_GB2312" w:hAnsi="仿宋_GB2312" w:cs="仿宋_GB2312" w:eastAsia="仿宋_GB2312"/>
        </w:rPr>
        <w:t>委托，拟对</w:t>
      </w:r>
      <w:r>
        <w:rPr>
          <w:rFonts w:ascii="仿宋_GB2312" w:hAnsi="仿宋_GB2312" w:cs="仿宋_GB2312" w:eastAsia="仿宋_GB2312"/>
        </w:rPr>
        <w:t>雁塔校区学生公寓、研究生院、3#教学楼粉刷项目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HXGJXM2025-ZC-CS1042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雁塔校区学生公寓、研究生院、3#教学楼粉刷项目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雁塔校区学生公寓、研究生院、3#教学楼粉刷</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采购包1（学生公寓、研究生院、3#教学楼粉刷）：属于专门面向中小企业采购。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法定代表人身份证明：法定代表人授权书（附法定代表人、被授权人身份证复印件及被授权人磋商截止日前一年内已缴存的至少一个月的社会保障资金凭证）；法定代表人直接参加投标，须提供法定代表人身份证明；</w:t>
      </w:r>
    </w:p>
    <w:p>
      <w:pPr>
        <w:pStyle w:val="null3"/>
      </w:pPr>
      <w:r>
        <w:rPr>
          <w:rFonts w:ascii="仿宋_GB2312" w:hAnsi="仿宋_GB2312" w:cs="仿宋_GB2312" w:eastAsia="仿宋_GB2312"/>
        </w:rPr>
        <w:t>2、信用记录：供应商未被“信用中国”网站（www.creditchina.gov.cn）列入失信被执行人和重大税收违法失信主体，未被中国政府采购网（www.ccgp.gov.cn）列入政府采购严重违法失信行为记录名单；（于本项目开标当日资格审查环节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p>
      <w:pPr>
        <w:pStyle w:val="null3"/>
      </w:pPr>
      <w:r>
        <w:rPr>
          <w:rFonts w:ascii="仿宋_GB2312" w:hAnsi="仿宋_GB2312" w:cs="仿宋_GB2312" w:eastAsia="仿宋_GB2312"/>
        </w:rPr>
        <w:t>3、资质要求：具备建设行政主管部门颁发的建筑装修装饰工程专业承包二级及以上资质且须具备合法有效的安全生产许可证；</w:t>
      </w:r>
    </w:p>
    <w:p>
      <w:pPr>
        <w:pStyle w:val="null3"/>
      </w:pPr>
      <w:r>
        <w:rPr>
          <w:rFonts w:ascii="仿宋_GB2312" w:hAnsi="仿宋_GB2312" w:cs="仿宋_GB2312" w:eastAsia="仿宋_GB2312"/>
        </w:rPr>
        <w:t>4、拟派项目负责人：拟派项目经理须为建筑工程专业贰级及以上注册建造师，具有安全生产考核合格证（B证）在本单位注册且无在建工程（提供无在建工程承诺书）；</w:t>
      </w:r>
    </w:p>
    <w:p>
      <w:pPr>
        <w:pStyle w:val="null3"/>
      </w:pPr>
      <w:r>
        <w:rPr>
          <w:rFonts w:ascii="仿宋_GB2312" w:hAnsi="仿宋_GB2312" w:cs="仿宋_GB2312" w:eastAsia="仿宋_GB2312"/>
        </w:rPr>
        <w:t>5、非联合体：本项目不接受联合体磋商。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西北政法大学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西安市长安区西长安街558号西北政法大学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029-88182569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陕西省西安市莲湖区二环南路西段202号九座花园16层1605室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宋文倩、康敏茹、张艳萍、刘锦江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029-88899970-830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执行。 户名：华夏国际项目管理（西安）有限公司 开户行:中国工商银行股份有限公司西安城南科技支行 账号:3700024819200130193 请中标供应商按照要求将服务费汇入以上指定账户，如因自身原因发生错误，产生的不利后果均由供应商自行承担。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踏勘时间：2025-07-18 10:00:00</w:t>
            </w:r>
          </w:p>
          <w:p>
            <w:pPr>
              <w:pStyle w:val="null3"/>
              <w:ind w:firstLine="975"/>
            </w:pPr>
            <w:r>
              <w:rPr>
                <w:rFonts w:ascii="仿宋_GB2312" w:hAnsi="仿宋_GB2312" w:cs="仿宋_GB2312" w:eastAsia="仿宋_GB2312"/>
              </w:rPr>
              <w:t>踏勘地点：甲方指定地点，携带单位授权书</w:t>
            </w:r>
          </w:p>
          <w:p>
            <w:pPr>
              <w:pStyle w:val="null3"/>
              <w:ind w:firstLine="975"/>
            </w:pPr>
            <w:r>
              <w:rPr>
                <w:rFonts w:ascii="仿宋_GB2312" w:hAnsi="仿宋_GB2312" w:cs="仿宋_GB2312" w:eastAsia="仿宋_GB2312"/>
              </w:rPr>
              <w:t>联系人：杨老师</w:t>
            </w:r>
          </w:p>
          <w:p>
            <w:pPr>
              <w:pStyle w:val="null3"/>
              <w:ind w:firstLine="975"/>
            </w:pPr>
            <w:r>
              <w:rPr>
                <w:rFonts w:ascii="仿宋_GB2312" w:hAnsi="仿宋_GB2312" w:cs="仿宋_GB2312" w:eastAsia="仿宋_GB2312"/>
              </w:rPr>
              <w:t>联系电话号码：13659111161</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西北政法大学</w:t>
      </w:r>
      <w:r>
        <w:rPr>
          <w:rFonts w:ascii="仿宋_GB2312" w:hAnsi="仿宋_GB2312" w:cs="仿宋_GB2312" w:eastAsia="仿宋_GB2312"/>
        </w:rPr>
        <w:t>和</w:t>
      </w:r>
      <w:r>
        <w:rPr>
          <w:rFonts w:ascii="仿宋_GB2312" w:hAnsi="仿宋_GB2312" w:cs="仿宋_GB2312" w:eastAsia="仿宋_GB2312"/>
        </w:rPr>
        <w:t>华夏国际项目管理有限公司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西北政法大学</w:t>
      </w:r>
      <w:r>
        <w:rPr>
          <w:rFonts w:ascii="仿宋_GB2312" w:hAnsi="仿宋_GB2312" w:cs="仿宋_GB2312" w:eastAsia="仿宋_GB2312"/>
        </w:rPr>
        <w:t>负责解释。除上述磋商文件内容，其他内容由</w:t>
      </w:r>
      <w:r>
        <w:rPr>
          <w:rFonts w:ascii="仿宋_GB2312" w:hAnsi="仿宋_GB2312" w:cs="仿宋_GB2312" w:eastAsia="仿宋_GB2312"/>
        </w:rPr>
        <w:t>华夏国际项目管理有限公司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西北政法大学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华夏国际项目管理有限公司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华夏国际项目管理有限公司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华夏国际项目管理有限公司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联系人：宋文倩、康敏茹、张艳萍、刘锦江</w:t>
      </w:r>
    </w:p>
    <w:p>
      <w:pPr>
        <w:pStyle w:val="null3"/>
      </w:pPr>
      <w:r>
        <w:rPr>
          <w:rFonts w:ascii="仿宋_GB2312" w:hAnsi="仿宋_GB2312" w:cs="仿宋_GB2312" w:eastAsia="仿宋_GB2312"/>
        </w:rPr>
        <w:t>联系电话：029-88899970-830</w:t>
      </w:r>
    </w:p>
    <w:p>
      <w:pPr>
        <w:pStyle w:val="null3"/>
      </w:pPr>
      <w:r>
        <w:rPr>
          <w:rFonts w:ascii="仿宋_GB2312" w:hAnsi="仿宋_GB2312" w:cs="仿宋_GB2312" w:eastAsia="仿宋_GB2312"/>
        </w:rPr>
        <w:t>地址：陕西省西安市莲湖区二环南路西段202号九座花园16层1605室</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380,000.00</w:t>
      </w:r>
    </w:p>
    <w:p>
      <w:pPr>
        <w:pStyle w:val="null3"/>
      </w:pPr>
      <w:r>
        <w:rPr>
          <w:rFonts w:ascii="仿宋_GB2312" w:hAnsi="仿宋_GB2312" w:cs="仿宋_GB2312" w:eastAsia="仿宋_GB2312"/>
        </w:rPr>
        <w:t>采购包最高限价（元）: 380,000.00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西北政法大学雁塔校区学生公寓、研究生院、3#教学楼粉刷项目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380,000.00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标的名称：西北政法大学雁塔校区学生公寓、研究生院、3#教学楼粉刷项目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left"/>
            </w:pPr>
            <w:r>
              <w:rPr>
                <w:rFonts w:ascii="仿宋_GB2312" w:hAnsi="仿宋_GB2312" w:cs="仿宋_GB2312" w:eastAsia="仿宋_GB2312"/>
                <w:sz w:val="21"/>
                <w:color w:val="000000"/>
              </w:rPr>
              <w:t>一、</w:t>
            </w:r>
            <w:r>
              <w:rPr>
                <w:rFonts w:ascii="仿宋_GB2312" w:hAnsi="仿宋_GB2312" w:cs="仿宋_GB2312" w:eastAsia="仿宋_GB2312"/>
                <w:sz w:val="21"/>
                <w:color w:val="000000"/>
              </w:rPr>
              <w:t>项目概况：</w:t>
            </w:r>
            <w:r>
              <w:rPr>
                <w:rFonts w:ascii="仿宋_GB2312" w:hAnsi="仿宋_GB2312" w:cs="仿宋_GB2312" w:eastAsia="仿宋_GB2312"/>
                <w:sz w:val="21"/>
                <w:color w:val="000000"/>
              </w:rPr>
              <w:t>本项目主要包括雁塔校区学生公寓275间宿舍及部分公共区域粉刷，宿舍内公寓楼桌、椅、床、窗等维修、纱窗更换，研教院1、2层公共区域粉刷，3#教学楼1层走廊粉刷及局部修补，具体施工内容与工程量如下：</w:t>
            </w:r>
          </w:p>
          <w:tbl>
            <w:tblPr>
              <w:tblInd w:type="dxa" w:w="120"/>
              <w:tblBorders>
                <w:top w:val="none" w:color="000000" w:sz="4"/>
                <w:left w:val="none" w:color="000000" w:sz="4"/>
                <w:bottom w:val="none" w:color="000000" w:sz="4"/>
                <w:right w:val="none" w:color="000000" w:sz="4"/>
                <w:insideH w:val="none"/>
                <w:insideV w:val="none"/>
              </w:tblBorders>
            </w:tblPr>
            <w:tblGrid>
              <w:gridCol w:w="175"/>
              <w:gridCol w:w="537"/>
              <w:gridCol w:w="602"/>
              <w:gridCol w:w="275"/>
              <w:gridCol w:w="485"/>
              <w:gridCol w:w="479"/>
            </w:tblGrid>
            <w:tr>
              <w:tc>
                <w:tcPr>
                  <w:tcW w:type="dxa" w:w="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5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名称</w:t>
                  </w:r>
                </w:p>
              </w:tc>
              <w:tc>
                <w:tcPr>
                  <w:tcW w:type="dxa" w:w="6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区域</w:t>
                  </w:r>
                </w:p>
              </w:tc>
              <w:tc>
                <w:tcPr>
                  <w:tcW w:type="dxa" w:w="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4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点补面积（㎡）</w:t>
                  </w:r>
                </w:p>
              </w:tc>
              <w:tc>
                <w:tcPr>
                  <w:tcW w:type="dxa" w:w="4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全铲面积（㎡）</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1#学生公寓</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学生宿舍</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17间</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1105</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2#学生公寓</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学生宿舍</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34间</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3280</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卫生间、门厅、走廊</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137</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5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3#学生公寓</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学生宿舍</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25间</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1625</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5"/>
                  <w:vMerge/>
                  <w:tcBorders>
                    <w:top w:val="none" w:color="000000" w:sz="4"/>
                    <w:left w:val="single" w:color="000000" w:sz="4"/>
                    <w:bottom w:val="single" w:color="000000" w:sz="4"/>
                    <w:right w:val="single" w:color="000000" w:sz="4"/>
                  </w:tcBorders>
                </w:tcPr>
                <w:p/>
              </w:tc>
              <w:tc>
                <w:tcPr>
                  <w:tcW w:type="dxa" w:w="537"/>
                  <w:vMerge/>
                  <w:tcBorders>
                    <w:top w:val="none" w:color="000000" w:sz="4"/>
                    <w:left w:val="single" w:color="000000" w:sz="4"/>
                    <w:bottom w:val="single" w:color="000000" w:sz="4"/>
                    <w:right w:val="single" w:color="000000" w:sz="4"/>
                  </w:tcBorders>
                </w:tcP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6层走廊</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390</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5"/>
                  <w:vMerge/>
                  <w:tcBorders>
                    <w:top w:val="none" w:color="000000" w:sz="4"/>
                    <w:left w:val="single" w:color="000000" w:sz="4"/>
                    <w:bottom w:val="single" w:color="000000" w:sz="4"/>
                    <w:right w:val="single" w:color="000000" w:sz="4"/>
                  </w:tcBorders>
                </w:tcPr>
                <w:p/>
              </w:tc>
              <w:tc>
                <w:tcPr>
                  <w:tcW w:type="dxa" w:w="537"/>
                  <w:vMerge/>
                  <w:tcBorders>
                    <w:top w:val="none" w:color="000000" w:sz="4"/>
                    <w:left w:val="single" w:color="000000" w:sz="4"/>
                    <w:bottom w:val="single" w:color="000000" w:sz="4"/>
                    <w:right w:val="single" w:color="000000" w:sz="4"/>
                  </w:tcBorders>
                </w:tcP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6-7层楼道</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190</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4#学生公寓</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学生宿舍</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154间</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11088</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5"/>
                  <w:vMerge/>
                  <w:tcBorders>
                    <w:top w:val="none" w:color="000000" w:sz="4"/>
                    <w:left w:val="single" w:color="000000" w:sz="4"/>
                    <w:bottom w:val="single" w:color="000000" w:sz="4"/>
                    <w:right w:val="single" w:color="000000" w:sz="4"/>
                  </w:tcBorders>
                </w:tcPr>
                <w:p/>
              </w:tc>
              <w:tc>
                <w:tcPr>
                  <w:tcW w:type="dxa" w:w="537"/>
                  <w:vMerge/>
                  <w:tcBorders>
                    <w:top w:val="none" w:color="000000" w:sz="4"/>
                    <w:left w:val="single" w:color="000000" w:sz="4"/>
                    <w:bottom w:val="single" w:color="000000" w:sz="4"/>
                    <w:right w:val="single" w:color="000000" w:sz="4"/>
                  </w:tcBorders>
                </w:tcP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2层、4-7层走廊</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1350</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5"/>
                  <w:vMerge/>
                  <w:tcBorders>
                    <w:top w:val="none" w:color="000000" w:sz="4"/>
                    <w:left w:val="single" w:color="000000" w:sz="4"/>
                    <w:bottom w:val="single" w:color="000000" w:sz="4"/>
                    <w:right w:val="single" w:color="000000" w:sz="4"/>
                  </w:tcBorders>
                </w:tcPr>
                <w:p/>
              </w:tc>
              <w:tc>
                <w:tcPr>
                  <w:tcW w:type="dxa" w:w="537"/>
                  <w:vMerge/>
                  <w:tcBorders>
                    <w:top w:val="none" w:color="000000" w:sz="4"/>
                    <w:left w:val="single" w:color="000000" w:sz="4"/>
                    <w:bottom w:val="single" w:color="000000" w:sz="4"/>
                    <w:right w:val="single" w:color="000000" w:sz="4"/>
                  </w:tcBorders>
                </w:tcP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4-7层楼道</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340</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5"/>
                  <w:vMerge/>
                  <w:tcBorders>
                    <w:top w:val="none" w:color="000000" w:sz="4"/>
                    <w:left w:val="single" w:color="000000" w:sz="4"/>
                    <w:bottom w:val="single" w:color="000000" w:sz="4"/>
                    <w:right w:val="single" w:color="000000" w:sz="4"/>
                  </w:tcBorders>
                </w:tcPr>
                <w:p/>
              </w:tc>
              <w:tc>
                <w:tcPr>
                  <w:tcW w:type="dxa" w:w="537"/>
                  <w:vMerge/>
                  <w:tcBorders>
                    <w:top w:val="none" w:color="000000" w:sz="4"/>
                    <w:left w:val="single" w:color="000000" w:sz="4"/>
                    <w:bottom w:val="single" w:color="000000" w:sz="4"/>
                    <w:right w:val="single" w:color="000000" w:sz="4"/>
                  </w:tcBorders>
                </w:tcP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4-7层卫生间水房</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r>
            <w:tr>
              <w:tc>
                <w:tcPr>
                  <w:tcW w:type="dxa" w:w="1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5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5#学生公寓</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学生宿舍</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14间</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1190</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5"/>
                  <w:vMerge/>
                  <w:tcBorders>
                    <w:top w:val="none" w:color="000000" w:sz="4"/>
                    <w:left w:val="single" w:color="000000" w:sz="4"/>
                    <w:bottom w:val="single" w:color="000000" w:sz="4"/>
                    <w:right w:val="single" w:color="000000" w:sz="4"/>
                  </w:tcBorders>
                </w:tcPr>
                <w:p/>
              </w:tc>
              <w:tc>
                <w:tcPr>
                  <w:tcW w:type="dxa" w:w="537"/>
                  <w:vMerge/>
                  <w:tcBorders>
                    <w:top w:val="none" w:color="000000" w:sz="4"/>
                    <w:left w:val="single" w:color="000000" w:sz="4"/>
                    <w:bottom w:val="single" w:color="000000" w:sz="4"/>
                    <w:right w:val="single" w:color="000000" w:sz="4"/>
                  </w:tcBorders>
                </w:tcP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1层走廊</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470</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5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7#学生公寓</w:t>
                  </w:r>
                </w:p>
              </w:tc>
              <w:tc>
                <w:tcPr>
                  <w:tcW w:type="dxa" w:w="6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学生宿舍</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43间</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3784</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5"/>
                  <w:vMerge/>
                  <w:tcBorders>
                    <w:top w:val="none" w:color="000000" w:sz="4"/>
                    <w:left w:val="single" w:color="000000" w:sz="4"/>
                    <w:bottom w:val="single" w:color="000000" w:sz="4"/>
                    <w:right w:val="single" w:color="000000" w:sz="4"/>
                  </w:tcBorders>
                </w:tcPr>
                <w:p/>
              </w:tc>
              <w:tc>
                <w:tcPr>
                  <w:tcW w:type="dxa" w:w="537"/>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10间</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880</w:t>
                  </w:r>
                </w:p>
              </w:tc>
            </w:tr>
            <w:tr>
              <w:tc>
                <w:tcPr>
                  <w:tcW w:type="dxa" w:w="175"/>
                  <w:vMerge/>
                  <w:tcBorders>
                    <w:top w:val="none" w:color="000000" w:sz="4"/>
                    <w:left w:val="single" w:color="000000" w:sz="4"/>
                    <w:bottom w:val="single" w:color="000000" w:sz="4"/>
                    <w:right w:val="single" w:color="000000" w:sz="4"/>
                  </w:tcBorders>
                </w:tcPr>
                <w:p/>
              </w:tc>
              <w:tc>
                <w:tcPr>
                  <w:tcW w:type="dxa" w:w="537"/>
                  <w:vMerge/>
                  <w:tcBorders>
                    <w:top w:val="none" w:color="000000" w:sz="4"/>
                    <w:left w:val="single" w:color="000000" w:sz="4"/>
                    <w:bottom w:val="single" w:color="000000" w:sz="4"/>
                    <w:right w:val="single" w:color="000000" w:sz="4"/>
                  </w:tcBorders>
                </w:tcP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3、4层走廊</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700</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9#学生公寓</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学生宿舍</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1间</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研教院</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1、2层</w:t>
                  </w:r>
                </w:p>
                <w:p>
                  <w:pPr>
                    <w:pStyle w:val="null3"/>
                    <w:jc w:val="center"/>
                  </w:pPr>
                  <w:r>
                    <w:rPr>
                      <w:rFonts w:ascii="仿宋_GB2312" w:hAnsi="仿宋_GB2312" w:cs="仿宋_GB2312" w:eastAsia="仿宋_GB2312"/>
                      <w:sz w:val="21"/>
                      <w:color w:val="000000"/>
                    </w:rPr>
                    <w:t>公共区域</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650</w:t>
                  </w:r>
                </w:p>
              </w:tc>
            </w:tr>
            <w:tr>
              <w:tc>
                <w:tcPr>
                  <w:tcW w:type="dxa" w:w="1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5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3#教学楼</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一层走廊</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1004.12</w:t>
                  </w:r>
                </w:p>
              </w:tc>
            </w:tr>
            <w:tr>
              <w:tc>
                <w:tcPr>
                  <w:tcW w:type="dxa" w:w="175"/>
                  <w:vMerge/>
                  <w:tcBorders>
                    <w:top w:val="none" w:color="000000" w:sz="4"/>
                    <w:left w:val="single" w:color="000000" w:sz="4"/>
                    <w:bottom w:val="single" w:color="000000" w:sz="4"/>
                    <w:right w:val="single" w:color="000000" w:sz="4"/>
                  </w:tcBorders>
                </w:tcPr>
                <w:p/>
              </w:tc>
              <w:tc>
                <w:tcPr>
                  <w:tcW w:type="dxa" w:w="537"/>
                  <w:vMerge/>
                  <w:tcBorders>
                    <w:top w:val="none" w:color="000000" w:sz="4"/>
                    <w:left w:val="single" w:color="000000" w:sz="4"/>
                    <w:bottom w:val="single" w:color="000000" w:sz="4"/>
                    <w:right w:val="single" w:color="000000" w:sz="4"/>
                  </w:tcBorders>
                </w:tcP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油漆墙裙</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258.73</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41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点补+全铲面积单独合计</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26020.12</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2410</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41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点补+全铲面积总计</w:t>
                  </w:r>
                </w:p>
              </w:tc>
              <w:tc>
                <w:tcPr>
                  <w:tcW w:type="dxa" w:w="96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28430.12</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41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油漆墙裙面积合计</w:t>
                  </w:r>
                </w:p>
              </w:tc>
              <w:tc>
                <w:tcPr>
                  <w:tcW w:type="dxa" w:w="96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258.73</w:t>
                  </w:r>
                </w:p>
              </w:tc>
            </w:tr>
          </w:tbl>
          <w:p>
            <w:pPr>
              <w:pStyle w:val="null3"/>
              <w:ind w:firstLine="420"/>
              <w:jc w:val="left"/>
            </w:pPr>
            <w:r>
              <w:rPr>
                <w:rFonts w:ascii="仿宋_GB2312" w:hAnsi="仿宋_GB2312" w:cs="仿宋_GB2312" w:eastAsia="仿宋_GB2312"/>
                <w:sz w:val="21"/>
                <w:color w:val="000000"/>
              </w:rPr>
              <w:t>二、主要功能或目标:为新生入校住宿提供良好的生活环境。</w:t>
            </w:r>
          </w:p>
          <w:p>
            <w:pPr>
              <w:pStyle w:val="null3"/>
              <w:jc w:val="left"/>
            </w:pPr>
            <w:r>
              <w:rPr>
                <w:rFonts w:ascii="仿宋_GB2312" w:hAnsi="仿宋_GB2312" w:cs="仿宋_GB2312" w:eastAsia="仿宋_GB2312"/>
                <w:sz w:val="21"/>
                <w:color w:val="000000"/>
              </w:rPr>
              <w:t>三、需满足的技术规格、服务及验收要求:质量满足《建筑装饰装修工程质量验收标准》(GB50210-2018)要求，达到合格标准。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（1）质量标准：符合国家现行有关施工质量验收规范“合格”要求; （2）工期：自合同签订之日起45日历天； （3）质保期：工程整体质保2年，在工程竣工验收合格后质保期2年 。 （4）前期无预付款项，资金自筹；项目竣工验收、审计结算后支付至审计金额的100%。 （5）付款前，承包人须提供合法合规的增值税发票（税率按本合同价款后的约定），否则，发包人有权拒绝支付任何款项。</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本项目于2025.7.18 10:00组织现场踏勘，请携带单位授权书。 （甲方联系人：杨老师13659111161）</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1.提供合格有效的法人或者其他组织的营业执照等证明文件，自然人的身份证明；供应商是法人或其他组织的应提供营业执照等证明文件，供应商是自然人的应提供有效的自然人身份证明。 2.提供2023 或2024年度经审计的已赋码且完整的财务报告；（成立时间至提交投标文件截止时间不足一年的单位可提供成立后任意时段的资产负债表；事业单位提供财务报表，财务报表应当包括：资产负债表、收入支出表或者收入费用表、财政补助收入支出表）或财政部门认可的政府采购专业担保机构出具的担保函或在投标截止日期前三个月内其基本开户银行出具的资信证明（附开户许可证或开户备案证明或基本账户信息）,以上形式的证明资料提供任何一种即可； 3.提供具有履行合同所必需的设备和专业技术能力的承诺； 4.税收缴纳证明：提供递交响应文件截止之日前一年内任意一个月的依法缴纳税收的完税证明，完税证明应有税务机关或代收机关的公章或业务专用章。依法免税或无须缴纳税收的供应商，应提供相应证明文件； 5.社会保障资金缴纳证明：提供投标文件递交截止日前一年内已缴存的至少一个月的社会保障资金缴存单据或社保机构开具的 社会保险参保缴费情况证明，依法不需要缴纳社会保障资金的单位应提供相关证明材料； 6.参加采购活动前3年内，在经营活动中没有重大违法记录的书面声明。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 或2024年度经审计的已赋码且完整的财务报告；（成立时间至提交投标文件截止时间不足一年的单位可提供成立后任意时段的资产负债表；事业单位提供财务报表，财务报表应当包括：资产负债表、收入支出表或者收入费用表、财政补助收入支出表）或财政部门认可的政府采购专业担保机构出具的担保函或在投标截止日期前三个月内其基本开户银行出具的资信证明（附开户许可证或开户备案证明或基本账户信息）,以上形式的证明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法定代表人授权书（附法定代表人、被授权人身份证复印件及被授权人磋商截止日前一年内已缴存的至少一个月的社会保障资金凭证）；法定代表人直接参加投标，须提供法定代表人身份证明；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于本项目开标当日资格审查环节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具备建设行政主管部门颁发的建筑装修装饰工程专业承包二级及以上资质且须具备合法有效的安全生产许可证；</w:t>
            </w:r>
          </w:p>
        </w:tc>
        <w:tc>
          <w:tcPr>
            <w:tcW w:type="dxa" w:w="1661"/>
          </w:tcPr>
          <w:p>
            <w:pPr>
              <w:pStyle w:val="null3"/>
            </w:pPr>
            <w:r>
              <w:rPr>
                <w:rFonts w:ascii="仿宋_GB2312" w:hAnsi="仿宋_GB2312" w:cs="仿宋_GB2312" w:eastAsia="仿宋_GB2312"/>
              </w:rPr>
              <w:t>资格证明文件.docx 施工组织设计.docx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拟派项目经理须为建筑工程专业贰级及以上注册建造师，具有安全生产考核合格证（B证）在本单位注册且无在建工程（提供无在建工程承诺书）；</w:t>
            </w:r>
          </w:p>
        </w:tc>
        <w:tc>
          <w:tcPr>
            <w:tcW w:type="dxa" w:w="1661"/>
          </w:tcPr>
          <w:p>
            <w:pPr>
              <w:pStyle w:val="null3"/>
            </w:pPr>
            <w:r>
              <w:rPr>
                <w:rFonts w:ascii="仿宋_GB2312" w:hAnsi="仿宋_GB2312" w:cs="仿宋_GB2312" w:eastAsia="仿宋_GB2312"/>
              </w:rPr>
              <w:t>资格证明文件.docx 施工组织设计.docx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 施工组织设计.docx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磋商过程中，磋商小组认为供应商的报价明显低于其他通过符合性审查供应商的报价，有可能影响产品质量或者不能诚信履约的，磋商小组应当要求其在合理的时间内在项目电子化交易系统中上传说明材料，必要时提交相关证明材料。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已标价工程量清单.docx 中小企业声明函 技术服务合同条款及其他商务要求应答表 施工组织设计.docx 资格证明文件.docx 强制优先采购产品承诺函 响应文件封面 残疾人福利性单位声明函 报价函 标的清单 供应商类似项目业绩一览表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已标价工程量清单.docx 中小企业声明函 技术服务合同条款及其他商务要求应答表 施工组织设计.docx 资格证明文件.docx 强制优先采购产品承诺函 响应文件封面 残疾人福利性单位声明函 报价函 标的清单 供应商类似项目业绩一览表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已标价工程量清单.docx 中小企业声明函 技术服务合同条款及其他商务要求应答表 施工组织设计.docx 资格证明文件.docx 强制优先采购产品承诺函 响应文件封面 残疾人福利性单位声明函 报价函 标的清单 供应商类似项目业绩一览表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按磋商文件要求报价，不得提交选择性报价，且每轮报价不超过采购预算金额或最高限价。</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已标价工程量清单.docx 中小企业声明函 技术服务合同条款及其他商务要求应答表 施工组织设计.docx 资格证明文件.docx 强制优先采购产品承诺函 响应文件封面 残疾人福利性单位声明函 报价函 标的清单 供应商类似项目业绩一览表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应满足磋商文件中要求</w:t>
            </w:r>
          </w:p>
        </w:tc>
        <w:tc>
          <w:tcPr>
            <w:tcW w:type="dxa" w:w="1661"/>
          </w:tcPr>
          <w:p>
            <w:pPr>
              <w:pStyle w:val="null3"/>
            </w:pPr>
            <w:r>
              <w:rPr>
                <w:rFonts w:ascii="仿宋_GB2312" w:hAnsi="仿宋_GB2312" w:cs="仿宋_GB2312" w:eastAsia="仿宋_GB2312"/>
              </w:rPr>
              <w:t>技术服务合同条款及其他商务要求应答表 施工组织设计.docx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应满足磋商文件中要求</w:t>
            </w:r>
          </w:p>
        </w:tc>
        <w:tc>
          <w:tcPr>
            <w:tcW w:type="dxa" w:w="1661"/>
          </w:tcPr>
          <w:p>
            <w:pPr>
              <w:pStyle w:val="null3"/>
            </w:pPr>
            <w:r>
              <w:rPr>
                <w:rFonts w:ascii="仿宋_GB2312" w:hAnsi="仿宋_GB2312" w:cs="仿宋_GB2312" w:eastAsia="仿宋_GB2312"/>
              </w:rPr>
              <w:t>技术服务合同条款及其他商务要求应答表 施工组织设计.docx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技术服务合同条款及其他商务要求应答表 施工组织设计.docx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 xml:space="preserve"> A.实施方案非常详细并且完整可行、有针对性，完全满足项目实施的得10分； B.实施方案详细、完整，可行、有针对性，满足项目实施的得8分； C.实施方案比较详细完整、可行，较利于项目实施的得5分； D.实施方案基本可行，基本满足项目实施需要的得2分; E.未提供得0分。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安全作业管理</w:t>
            </w:r>
          </w:p>
        </w:tc>
        <w:tc>
          <w:tcPr>
            <w:tcW w:type="dxa" w:w="2492"/>
          </w:tcPr>
          <w:p>
            <w:pPr>
              <w:pStyle w:val="null3"/>
            </w:pPr>
            <w:r>
              <w:rPr>
                <w:rFonts w:ascii="仿宋_GB2312" w:hAnsi="仿宋_GB2312" w:cs="仿宋_GB2312" w:eastAsia="仿宋_GB2312"/>
              </w:rPr>
              <w:t xml:space="preserve"> 针对本项目提供的安全作业方案及安全配套措施进行综合评审。 A.提供的安全作业方案及安全配套措施具体、详细，完全符合并优于采购人安全作业的要求，得10分； B.提供安全作业方案及安全配套措施较详细、较完整，符合采购人安全作业的要求，得8分； C.提供安全作业方案及安全配套措施基本合理可行，符合采购人安全作业的要求，得5分； D.提供的安全作业方案及安全配套措施简单，基本符合采购人安全作业的要求，得2分。 E.未提供得0分。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文明施工措施计划</w:t>
            </w:r>
          </w:p>
        </w:tc>
        <w:tc>
          <w:tcPr>
            <w:tcW w:type="dxa" w:w="2492"/>
          </w:tcPr>
          <w:p>
            <w:pPr>
              <w:pStyle w:val="null3"/>
            </w:pPr>
            <w:r>
              <w:rPr>
                <w:rFonts w:ascii="仿宋_GB2312" w:hAnsi="仿宋_GB2312" w:cs="仿宋_GB2312" w:eastAsia="仿宋_GB2312"/>
              </w:rPr>
              <w:t xml:space="preserve"> 针对本项目提供的文明施工措施计划进行综合评审。 A.措施计划齐全、合理且切实可行，完全满足采购人需求得10分； B.措施计划较齐全、合理、切实可行，满足采购人需求得8分； C.措施计划较齐全、合理、基本可行，基本满足采购人需求得5分； D.措施计划基本完备齐全、合理性、可行性较差，得2分； E.未提供得0分。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技术组织措施</w:t>
            </w:r>
          </w:p>
        </w:tc>
        <w:tc>
          <w:tcPr>
            <w:tcW w:type="dxa" w:w="2492"/>
          </w:tcPr>
          <w:p>
            <w:pPr>
              <w:pStyle w:val="null3"/>
            </w:pPr>
            <w:r>
              <w:rPr>
                <w:rFonts w:ascii="仿宋_GB2312" w:hAnsi="仿宋_GB2312" w:cs="仿宋_GB2312" w:eastAsia="仿宋_GB2312"/>
              </w:rPr>
              <w:t>根据供应商制定的确保工程质量及工期的技术组织措施进行综合评审。 A.措施计划齐全、合理且切实可行，完全满足采购人需求得10分； B.措施计划较齐全、合理、切实可行，满足采购人需求得8分； C.措施计划较齐全、合理、基本可行，基本满足采购人需求得5分； D.措施计划基本完备齐全、合理性、可行性较差，得2分； E.未提供得0分。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 xml:space="preserve"> 针对本项目的项目组织管理机构配备。 A.机构设置合理，人员配备齐全，技术经验丰富，完全满足项目需求得10分； B.机构设置合理，人员配备齐全，技术经验丰富，满足项目需求得8分； C.机构设置合理，人员配备、技术经验一般，较为可行的得5分； D.机构设置、人员配备、技术经验较差，得2分； E.未提供得0分。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根据供应商投入的施工机械配备和材料投入计划等进行评审。 A.施工机械配备合理并提供设备来源证明材料，投投入材料环保性达到国家标准得5分； B.施工机械配备合理和材料环保性较好，得4分； C.施工机械配备和材料投入计划基本合理、可行，得3分； D.施工机械配备和材料投入计划较差，得2分； E.未提供得0分。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劳动力安排计划及劳务分配情况表</w:t>
            </w:r>
          </w:p>
        </w:tc>
        <w:tc>
          <w:tcPr>
            <w:tcW w:type="dxa" w:w="2492"/>
          </w:tcPr>
          <w:p>
            <w:pPr>
              <w:pStyle w:val="null3"/>
            </w:pPr>
            <w:r>
              <w:rPr>
                <w:rFonts w:ascii="仿宋_GB2312" w:hAnsi="仿宋_GB2312" w:cs="仿宋_GB2312" w:eastAsia="仿宋_GB2312"/>
              </w:rPr>
              <w:t>供应商就本项目劳动力安排计划及劳务分配情况表，根据合理、可行程度进行评审。 A.劳动力安排计划及劳务分配合理、可行，得5分； B.劳动力安排计划及劳务分配情况分配较好、可行性较好，得4分；C.可行劳动力安排计划及劳务分配基本可行，得3分；D.劳动力安排计划及劳务分配可行性较差，得2分；E.未提供得0分。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供应商2022年7月1日至截标时间前类似施工项目业绩；每提供1份计2分，最高得10分。业绩证明以合同签订时间为准。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1、经初审合格的磋商文件，其最终报价为有效报价。 2、有效最低报价为基准价得30分。 3、按（磋商基准价/有效最终磋商报价）×30的公式计算报价得分。 报价不完整的，不进入磋商基准价的计算，本项得0分。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